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7F3BA0" w:rsidRDefault="007F3BA0" w:rsidP="007F3BA0">
      <w:pPr>
        <w:spacing w:line="360" w:lineRule="auto"/>
        <w:jc w:val="center"/>
        <w:rPr>
          <w:rFonts w:ascii="Times New Roman" w:hAnsi="Times New Roman" w:cs="Times New Roman"/>
          <w:b/>
          <w:sz w:val="28"/>
          <w:szCs w:val="28"/>
        </w:rPr>
      </w:pPr>
      <w:r w:rsidRPr="007F3BA0">
        <w:rPr>
          <w:rFonts w:ascii="Times New Roman" w:hAnsi="Times New Roman" w:cs="Times New Roman"/>
          <w:b/>
          <w:sz w:val="28"/>
          <w:szCs w:val="28"/>
        </w:rPr>
        <w:t>MACHINE LEARNING TECHNIQUES FOR ENERGY EFFICIENCY AND ANOMALY DETECTION IN HYBRID WIRELESS SENSOR NETWORKS</w:t>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t>ABSTRACT</w:t>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sz w:val="28"/>
          <w:szCs w:val="28"/>
        </w:rPr>
        <w:t xml:space="preserve">Wireless sensor networks (WSNs) are among the most popular wireless technologies for sensor communication purposes nowadays. Usually, WSNs are developed for specific applications, either monitoring purposes or tracking purposes, for indoor or outdoor environments, where limited battery power is a main challenge. To overcome this problem, many routing protocols have been proposed through the last few years. Nevertheless, the extension of the network lifetime in consideration of the sensors capacities remains an open issue. In this paper, to achieve more efficient and reliable protocols according to current application scenarios, two well-known energy efficient protocols, i.e., Low-Energy Adaptive Clustering hierarchy (LEACH) and Energy–Efficient Sensor Routing (EESR), are redesigned considering neural networks. Specifically, to improve results in terms of energy efficiency, a Levenberg–Marquardt neural network (LMNN) is integrated. Furthermore, in order to improve the performance, a sub-cluster LEACH-derived protocol is also proposed. Simulation results show that the Sub-LEACH with LMNN outperformed its competitors in energy efficiency. In addition, the end-to-end delay was evaluated, and Sub-LEACH protocol proved to be the best among existing strategies. Moreover, an intrusion detection system (IDS) has been proposed for anomaly detection based on the support vector machine (SVM) approach for optimal feature selection. Results showed 96.15% accuracy—again outperforming existing IDS models. Therefore, satisfactory results in terms of energy efficiency, end-to-end delay and anomaly detection analysis were attained. </w:t>
      </w:r>
      <w:r w:rsidRPr="007F3BA0">
        <w:rPr>
          <w:rFonts w:ascii="Times New Roman" w:hAnsi="Times New Roman" w:cs="Times New Roman"/>
          <w:b/>
          <w:sz w:val="28"/>
          <w:szCs w:val="28"/>
        </w:rPr>
        <w:br w:type="page"/>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lastRenderedPageBreak/>
        <w:t>EXISTING SYSTEM</w:t>
      </w:r>
    </w:p>
    <w:p w:rsidR="00B50593" w:rsidRPr="007F3BA0" w:rsidRDefault="00B50593" w:rsidP="007F3BA0">
      <w:pPr>
        <w:spacing w:line="360" w:lineRule="auto"/>
        <w:jc w:val="both"/>
        <w:rPr>
          <w:rFonts w:ascii="Times New Roman" w:hAnsi="Times New Roman" w:cs="Times New Roman"/>
          <w:sz w:val="28"/>
          <w:szCs w:val="28"/>
        </w:rPr>
      </w:pPr>
      <w:r w:rsidRPr="007F3BA0">
        <w:rPr>
          <w:rFonts w:ascii="Times New Roman" w:hAnsi="Times New Roman" w:cs="Times New Roman"/>
          <w:sz w:val="28"/>
          <w:szCs w:val="28"/>
        </w:rPr>
        <w:t>Nowadays, because of the unpredictable nature of sensor nodes, propagating sensory data raises significant research challenges in Wireless Sensor Networks (WSNs). Recently, different cluster-based solutions are designed for the improvement of network stability and lifetime, however, most of the energy efficient solutions are developed for homogeneous networks, and use only a distance parameter for the data communication. Although, some existing solutions attempted to improve the selection of next-hop based on energy factor, nevertheless, such solutions are unstable and lack a reducing data delivery interruption in overloaded links. The aim of our proposed solution is to develop Reliable Cluster-based Energy-aware Routing (RCER) protocol for heterogeneous WSN, which lengthen network lifetime and decreases routing cost. Our proposed RCER protocol make use of heterogeneity nodes with respect to their energy and comprises of two main phases; firstly, the network field is parted in geographical clusters to make the network more energy-efficient and secondly; RCER attempts optimum routing for improving the next-hop selection by considering residual-energy, hop-count and weighted value of Round Trip Time (RTT) factors. Moreover, based on computing the measurement of wireless links and nodes status, RCER restore routing paths and provides network reliability with improved data delivery performance. Simulation results demonstrate significant development of RCER protocol against their competing solutions.</w:t>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t>DISADVANTAGES</w:t>
      </w:r>
    </w:p>
    <w:p w:rsidR="00B50593" w:rsidRPr="007F3BA0" w:rsidRDefault="00B50593" w:rsidP="007F3BA0">
      <w:pPr>
        <w:pStyle w:val="ListParagraph"/>
        <w:numPr>
          <w:ilvl w:val="0"/>
          <w:numId w:val="1"/>
        </w:numPr>
        <w:spacing w:line="360" w:lineRule="auto"/>
        <w:jc w:val="both"/>
        <w:rPr>
          <w:rFonts w:ascii="Times New Roman" w:hAnsi="Times New Roman" w:cs="Times New Roman"/>
          <w:sz w:val="28"/>
          <w:szCs w:val="28"/>
        </w:rPr>
      </w:pPr>
      <w:r w:rsidRPr="007F3BA0">
        <w:rPr>
          <w:rFonts w:ascii="Times New Roman" w:hAnsi="Times New Roman" w:cs="Times New Roman"/>
          <w:sz w:val="28"/>
          <w:szCs w:val="28"/>
        </w:rPr>
        <w:t>Performance cannot be measured using any other devices.</w:t>
      </w:r>
    </w:p>
    <w:p w:rsidR="00B50593" w:rsidRPr="007F3BA0" w:rsidRDefault="00B50593" w:rsidP="007F3BA0">
      <w:pPr>
        <w:pStyle w:val="ListParagraph"/>
        <w:numPr>
          <w:ilvl w:val="0"/>
          <w:numId w:val="1"/>
        </w:numPr>
        <w:spacing w:line="360" w:lineRule="auto"/>
        <w:jc w:val="both"/>
        <w:rPr>
          <w:rFonts w:ascii="Times New Roman" w:hAnsi="Times New Roman" w:cs="Times New Roman"/>
          <w:sz w:val="28"/>
          <w:szCs w:val="28"/>
        </w:rPr>
      </w:pPr>
      <w:r w:rsidRPr="007F3BA0">
        <w:rPr>
          <w:rFonts w:ascii="Times New Roman" w:hAnsi="Times New Roman" w:cs="Times New Roman"/>
          <w:sz w:val="28"/>
          <w:szCs w:val="28"/>
        </w:rPr>
        <w:t>High complexity protocol.</w:t>
      </w:r>
    </w:p>
    <w:p w:rsidR="00B50593" w:rsidRPr="007F3BA0" w:rsidRDefault="00B50593" w:rsidP="007F3BA0">
      <w:pPr>
        <w:spacing w:line="360" w:lineRule="auto"/>
        <w:jc w:val="both"/>
        <w:rPr>
          <w:rFonts w:ascii="Times New Roman" w:hAnsi="Times New Roman" w:cs="Times New Roman"/>
          <w:b/>
          <w:sz w:val="28"/>
          <w:szCs w:val="28"/>
        </w:rPr>
      </w:pP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br w:type="page"/>
      </w:r>
      <w:r w:rsidRPr="007F3BA0">
        <w:rPr>
          <w:rFonts w:ascii="Times New Roman" w:hAnsi="Times New Roman" w:cs="Times New Roman"/>
          <w:b/>
          <w:sz w:val="28"/>
          <w:szCs w:val="28"/>
        </w:rPr>
        <w:lastRenderedPageBreak/>
        <w:t>PROPOSED SYSTEM</w:t>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sz w:val="28"/>
          <w:szCs w:val="28"/>
        </w:rPr>
        <w:t xml:space="preserve">WSNs are generally densely deployed in specific fields for monitoring required parametric values. The major aim of any wireless sensor network is prolonging overall network lifetime as much as possible. Therefore, energy efficiency is a high priority parameter for any sensor network, and thus, any efficient management needs to be focused on it. In this paper, two qualities of services-based parameters such as energy efficiency and end-to-end delay were considered for the evaluation of the proposed protocols. Specifically, the main contribution of the work with regard to authors’ previous work can be summarized as follows: in other to increase the lifetime of the network, the Levenberg–Marquardt neural network was embed into well-known energy efficient strategies: LMNN approach was implemented in LEACH, Sub-LEACH and EESR protocols, as shown in Figures 10–14. Simulation results showed that Sub-LEACH-LMNN outperforms the competing algorithms in terms of both energy and end-to-end criteria. Additionally, as a second contribution of the work, this paper worked toward anomaly detection: SVM was used to classify normal and anomaly classes, also showing higher accuracy compared to other existing models. </w:t>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t>ADVANTAGES</w:t>
      </w:r>
    </w:p>
    <w:p w:rsidR="00B50593" w:rsidRPr="007F3BA0" w:rsidRDefault="00B50593" w:rsidP="007F3BA0">
      <w:pPr>
        <w:pStyle w:val="ListParagraph"/>
        <w:numPr>
          <w:ilvl w:val="0"/>
          <w:numId w:val="2"/>
        </w:numPr>
        <w:spacing w:line="360" w:lineRule="auto"/>
        <w:jc w:val="both"/>
        <w:rPr>
          <w:rFonts w:ascii="Times New Roman" w:hAnsi="Times New Roman" w:cs="Times New Roman"/>
          <w:sz w:val="28"/>
          <w:szCs w:val="28"/>
        </w:rPr>
      </w:pPr>
      <w:r w:rsidRPr="007F3BA0">
        <w:rPr>
          <w:rFonts w:ascii="Times New Roman" w:hAnsi="Times New Roman" w:cs="Times New Roman"/>
          <w:sz w:val="28"/>
          <w:szCs w:val="28"/>
        </w:rPr>
        <w:t xml:space="preserve">Reduce the control messages overhead </w:t>
      </w:r>
    </w:p>
    <w:p w:rsidR="00B50593" w:rsidRPr="007F3BA0" w:rsidRDefault="00B50593" w:rsidP="007F3BA0">
      <w:pPr>
        <w:pStyle w:val="ListParagraph"/>
        <w:numPr>
          <w:ilvl w:val="0"/>
          <w:numId w:val="2"/>
        </w:numPr>
        <w:spacing w:line="360" w:lineRule="auto"/>
        <w:jc w:val="both"/>
        <w:rPr>
          <w:rFonts w:ascii="Times New Roman" w:hAnsi="Times New Roman" w:cs="Times New Roman"/>
          <w:sz w:val="28"/>
          <w:szCs w:val="28"/>
        </w:rPr>
      </w:pPr>
      <w:r w:rsidRPr="007F3BA0">
        <w:rPr>
          <w:rFonts w:ascii="Times New Roman" w:hAnsi="Times New Roman" w:cs="Times New Roman"/>
          <w:sz w:val="28"/>
          <w:szCs w:val="28"/>
        </w:rPr>
        <w:t>Low complexity algorithm</w:t>
      </w:r>
    </w:p>
    <w:p w:rsidR="00B50593" w:rsidRPr="007F3BA0" w:rsidRDefault="00B50593" w:rsidP="007F3BA0">
      <w:pPr>
        <w:pStyle w:val="ListParagraph"/>
        <w:numPr>
          <w:ilvl w:val="0"/>
          <w:numId w:val="2"/>
        </w:numPr>
        <w:spacing w:line="360" w:lineRule="auto"/>
        <w:jc w:val="both"/>
        <w:rPr>
          <w:rFonts w:ascii="Times New Roman" w:hAnsi="Times New Roman" w:cs="Times New Roman"/>
          <w:sz w:val="28"/>
          <w:szCs w:val="28"/>
        </w:rPr>
      </w:pPr>
      <w:r w:rsidRPr="007F3BA0">
        <w:rPr>
          <w:rFonts w:ascii="Times New Roman" w:hAnsi="Times New Roman" w:cs="Times New Roman"/>
          <w:sz w:val="28"/>
          <w:szCs w:val="28"/>
        </w:rPr>
        <w:t>Local compression to reduce global data communication</w:t>
      </w:r>
    </w:p>
    <w:p w:rsidR="00B50593" w:rsidRPr="007F3BA0"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br w:type="page"/>
      </w:r>
    </w:p>
    <w:p w:rsidR="00664C7E" w:rsidRPr="00573C03" w:rsidRDefault="00664C7E" w:rsidP="00664C7E">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664C7E" w:rsidRPr="00573C03" w:rsidRDefault="00664C7E" w:rsidP="00664C7E">
      <w:pPr>
        <w:autoSpaceDE w:val="0"/>
        <w:autoSpaceDN w:val="0"/>
        <w:adjustRightInd w:val="0"/>
        <w:spacing w:after="0" w:line="360" w:lineRule="auto"/>
        <w:jc w:val="both"/>
        <w:rPr>
          <w:rFonts w:ascii="Times New Roman" w:hAnsi="Times New Roman" w:cs="Times New Roman"/>
          <w:b/>
          <w:bCs/>
          <w:sz w:val="28"/>
          <w:szCs w:val="28"/>
        </w:rPr>
      </w:pPr>
    </w:p>
    <w:p w:rsidR="00664C7E" w:rsidRPr="00573C03" w:rsidRDefault="00664C7E" w:rsidP="00664C7E">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664C7E" w:rsidRPr="00573C03" w:rsidRDefault="00664C7E" w:rsidP="00664C7E">
      <w:pPr>
        <w:spacing w:line="360" w:lineRule="auto"/>
        <w:ind w:left="720"/>
        <w:contextualSpacing/>
        <w:jc w:val="both"/>
        <w:rPr>
          <w:rFonts w:ascii="Times New Roman" w:hAnsi="Times New Roman" w:cs="Times New Roman"/>
          <w:sz w:val="28"/>
          <w:szCs w:val="28"/>
        </w:rPr>
      </w:pPr>
    </w:p>
    <w:p w:rsidR="00664C7E" w:rsidRPr="00573C03" w:rsidRDefault="00664C7E" w:rsidP="00664C7E">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664C7E" w:rsidRPr="00573C03" w:rsidRDefault="00664C7E" w:rsidP="00664C7E">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664C7E" w:rsidRDefault="00664C7E" w:rsidP="00664C7E">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664C7E" w:rsidRDefault="00664C7E" w:rsidP="00664C7E"/>
    <w:p w:rsidR="00664C7E" w:rsidRDefault="00664C7E">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br w:type="page"/>
      </w:r>
    </w:p>
    <w:p w:rsidR="00B50593" w:rsidRDefault="00B50593" w:rsidP="007F3BA0">
      <w:pPr>
        <w:spacing w:line="360" w:lineRule="auto"/>
        <w:jc w:val="both"/>
        <w:rPr>
          <w:rFonts w:ascii="Times New Roman" w:hAnsi="Times New Roman" w:cs="Times New Roman"/>
          <w:b/>
          <w:sz w:val="28"/>
          <w:szCs w:val="28"/>
        </w:rPr>
      </w:pPr>
      <w:r w:rsidRPr="007F3BA0">
        <w:rPr>
          <w:rFonts w:ascii="Times New Roman" w:hAnsi="Times New Roman" w:cs="Times New Roman"/>
          <w:b/>
          <w:sz w:val="28"/>
          <w:szCs w:val="28"/>
        </w:rPr>
        <w:lastRenderedPageBreak/>
        <w:t>REFERENCES</w:t>
      </w:r>
    </w:p>
    <w:p w:rsidR="007F3BA0" w:rsidRPr="00793CA4" w:rsidRDefault="007F3BA0" w:rsidP="007F3BA0">
      <w:pPr>
        <w:pStyle w:val="ListParagraph"/>
        <w:numPr>
          <w:ilvl w:val="0"/>
          <w:numId w:val="3"/>
        </w:numPr>
        <w:spacing w:line="360" w:lineRule="auto"/>
        <w:jc w:val="both"/>
        <w:rPr>
          <w:rFonts w:ascii="Times New Roman" w:hAnsi="Times New Roman" w:cs="Times New Roman"/>
          <w:b/>
          <w:sz w:val="28"/>
          <w:szCs w:val="28"/>
        </w:rPr>
      </w:pPr>
      <w:r w:rsidRPr="00793CA4">
        <w:rPr>
          <w:rFonts w:ascii="Times New Roman" w:hAnsi="Times New Roman" w:cs="Times New Roman"/>
          <w:sz w:val="28"/>
          <w:szCs w:val="28"/>
        </w:rPr>
        <w:t xml:space="preserve"> </w:t>
      </w:r>
      <w:proofErr w:type="spellStart"/>
      <w:r w:rsidRPr="00793CA4">
        <w:rPr>
          <w:rFonts w:ascii="Times New Roman" w:hAnsi="Times New Roman" w:cs="Times New Roman"/>
          <w:sz w:val="28"/>
          <w:szCs w:val="28"/>
        </w:rPr>
        <w:t>Haseeb</w:t>
      </w:r>
      <w:proofErr w:type="spellEnd"/>
      <w:r w:rsidRPr="00793CA4">
        <w:rPr>
          <w:rFonts w:ascii="Times New Roman" w:hAnsi="Times New Roman" w:cs="Times New Roman"/>
          <w:sz w:val="28"/>
          <w:szCs w:val="28"/>
        </w:rPr>
        <w:t xml:space="preserve">, K.; Abbas, N.; </w:t>
      </w:r>
      <w:proofErr w:type="spellStart"/>
      <w:r w:rsidRPr="00793CA4">
        <w:rPr>
          <w:rFonts w:ascii="Times New Roman" w:hAnsi="Times New Roman" w:cs="Times New Roman"/>
          <w:sz w:val="28"/>
          <w:szCs w:val="28"/>
        </w:rPr>
        <w:t>Saleem</w:t>
      </w:r>
      <w:proofErr w:type="spellEnd"/>
      <w:r w:rsidRPr="00793CA4">
        <w:rPr>
          <w:rFonts w:ascii="Times New Roman" w:hAnsi="Times New Roman" w:cs="Times New Roman"/>
          <w:sz w:val="28"/>
          <w:szCs w:val="28"/>
        </w:rPr>
        <w:t xml:space="preserve">, M.Q.; </w:t>
      </w:r>
      <w:proofErr w:type="spellStart"/>
      <w:r w:rsidRPr="00793CA4">
        <w:rPr>
          <w:rFonts w:ascii="Times New Roman" w:hAnsi="Times New Roman" w:cs="Times New Roman"/>
          <w:sz w:val="28"/>
          <w:szCs w:val="28"/>
        </w:rPr>
        <w:t>Sheta</w:t>
      </w:r>
      <w:proofErr w:type="spellEnd"/>
      <w:r w:rsidRPr="00793CA4">
        <w:rPr>
          <w:rFonts w:ascii="Times New Roman" w:hAnsi="Times New Roman" w:cs="Times New Roman"/>
          <w:sz w:val="28"/>
          <w:szCs w:val="28"/>
        </w:rPr>
        <w:t xml:space="preserve">, O.E.; </w:t>
      </w:r>
      <w:proofErr w:type="spellStart"/>
      <w:r w:rsidRPr="00793CA4">
        <w:rPr>
          <w:rFonts w:ascii="Times New Roman" w:hAnsi="Times New Roman" w:cs="Times New Roman"/>
          <w:sz w:val="28"/>
          <w:szCs w:val="28"/>
        </w:rPr>
        <w:t>Awan</w:t>
      </w:r>
      <w:proofErr w:type="spellEnd"/>
      <w:r w:rsidRPr="00793CA4">
        <w:rPr>
          <w:rFonts w:ascii="Times New Roman" w:hAnsi="Times New Roman" w:cs="Times New Roman"/>
          <w:sz w:val="28"/>
          <w:szCs w:val="28"/>
        </w:rPr>
        <w:t xml:space="preserve">, K.; Islam, N. RCER: Reliable Cluster-based Energy-aware Routing protocol for heterogeneous Wireless Sensor Networks. </w:t>
      </w:r>
      <w:proofErr w:type="spellStart"/>
      <w:r w:rsidRPr="00793CA4">
        <w:rPr>
          <w:rFonts w:ascii="Times New Roman" w:hAnsi="Times New Roman" w:cs="Times New Roman"/>
          <w:sz w:val="28"/>
          <w:szCs w:val="28"/>
        </w:rPr>
        <w:t>PLoS</w:t>
      </w:r>
      <w:proofErr w:type="spellEnd"/>
      <w:r w:rsidRPr="00793CA4">
        <w:rPr>
          <w:rFonts w:ascii="Times New Roman" w:hAnsi="Times New Roman" w:cs="Times New Roman"/>
          <w:sz w:val="28"/>
          <w:szCs w:val="28"/>
        </w:rPr>
        <w:t xml:space="preserve"> ONE 2019, 14, e0224319. </w:t>
      </w:r>
    </w:p>
    <w:p w:rsidR="00793CA4" w:rsidRPr="00793CA4" w:rsidRDefault="007F3BA0" w:rsidP="007F3BA0">
      <w:pPr>
        <w:pStyle w:val="ListParagraph"/>
        <w:numPr>
          <w:ilvl w:val="0"/>
          <w:numId w:val="3"/>
        </w:numPr>
        <w:spacing w:line="360" w:lineRule="auto"/>
        <w:jc w:val="both"/>
        <w:rPr>
          <w:rFonts w:ascii="Times New Roman" w:hAnsi="Times New Roman" w:cs="Times New Roman"/>
          <w:b/>
          <w:sz w:val="28"/>
          <w:szCs w:val="28"/>
        </w:rPr>
      </w:pPr>
      <w:r w:rsidRPr="00793CA4">
        <w:rPr>
          <w:rFonts w:ascii="Times New Roman" w:hAnsi="Times New Roman" w:cs="Times New Roman"/>
          <w:sz w:val="28"/>
          <w:szCs w:val="28"/>
        </w:rPr>
        <w:t xml:space="preserve">Ahmad, M.; Li, T.; Khan, Z.; </w:t>
      </w:r>
      <w:proofErr w:type="spellStart"/>
      <w:r w:rsidRPr="00793CA4">
        <w:rPr>
          <w:rFonts w:ascii="Times New Roman" w:hAnsi="Times New Roman" w:cs="Times New Roman"/>
          <w:sz w:val="28"/>
          <w:szCs w:val="28"/>
        </w:rPr>
        <w:t>Khurshid</w:t>
      </w:r>
      <w:proofErr w:type="spellEnd"/>
      <w:r w:rsidRPr="00793CA4">
        <w:rPr>
          <w:rFonts w:ascii="Times New Roman" w:hAnsi="Times New Roman" w:cs="Times New Roman"/>
          <w:sz w:val="28"/>
          <w:szCs w:val="28"/>
        </w:rPr>
        <w:t>, F.; Ahmad, M. A Novel Connectivity-Based LEACH-MEEC Routing Protocol for Mobile Wire- less Sensor Network. Sensors 2018, 18, 4278. [</w:t>
      </w:r>
      <w:proofErr w:type="spellStart"/>
      <w:r w:rsidRPr="00793CA4">
        <w:rPr>
          <w:rFonts w:ascii="Times New Roman" w:hAnsi="Times New Roman" w:cs="Times New Roman"/>
          <w:sz w:val="28"/>
          <w:szCs w:val="28"/>
        </w:rPr>
        <w:t>CrossRef</w:t>
      </w:r>
      <w:proofErr w:type="spellEnd"/>
      <w:r w:rsidRPr="00793CA4">
        <w:rPr>
          <w:rFonts w:ascii="Times New Roman" w:hAnsi="Times New Roman" w:cs="Times New Roman"/>
          <w:sz w:val="28"/>
          <w:szCs w:val="28"/>
        </w:rPr>
        <w:t xml:space="preserve">] </w:t>
      </w:r>
    </w:p>
    <w:p w:rsidR="00793CA4" w:rsidRPr="00793CA4" w:rsidRDefault="007F3BA0" w:rsidP="007F3BA0">
      <w:pPr>
        <w:pStyle w:val="ListParagraph"/>
        <w:numPr>
          <w:ilvl w:val="0"/>
          <w:numId w:val="3"/>
        </w:numPr>
        <w:spacing w:line="360" w:lineRule="auto"/>
        <w:jc w:val="both"/>
        <w:rPr>
          <w:rFonts w:ascii="Times New Roman" w:hAnsi="Times New Roman" w:cs="Times New Roman"/>
          <w:b/>
          <w:sz w:val="28"/>
          <w:szCs w:val="28"/>
        </w:rPr>
      </w:pPr>
      <w:proofErr w:type="spellStart"/>
      <w:r w:rsidRPr="00793CA4">
        <w:rPr>
          <w:rFonts w:ascii="Times New Roman" w:hAnsi="Times New Roman" w:cs="Times New Roman"/>
          <w:sz w:val="28"/>
          <w:szCs w:val="28"/>
        </w:rPr>
        <w:t>Feng</w:t>
      </w:r>
      <w:proofErr w:type="spellEnd"/>
      <w:r w:rsidRPr="00793CA4">
        <w:rPr>
          <w:rFonts w:ascii="Times New Roman" w:hAnsi="Times New Roman" w:cs="Times New Roman"/>
          <w:sz w:val="28"/>
          <w:szCs w:val="28"/>
        </w:rPr>
        <w:t xml:space="preserve">, Q.; He, D.; </w:t>
      </w:r>
      <w:proofErr w:type="spellStart"/>
      <w:r w:rsidRPr="00793CA4">
        <w:rPr>
          <w:rFonts w:ascii="Times New Roman" w:hAnsi="Times New Roman" w:cs="Times New Roman"/>
          <w:sz w:val="28"/>
          <w:szCs w:val="28"/>
        </w:rPr>
        <w:t>Zeadally</w:t>
      </w:r>
      <w:proofErr w:type="spellEnd"/>
      <w:r w:rsidRPr="00793CA4">
        <w:rPr>
          <w:rFonts w:ascii="Times New Roman" w:hAnsi="Times New Roman" w:cs="Times New Roman"/>
          <w:sz w:val="28"/>
          <w:szCs w:val="28"/>
        </w:rPr>
        <w:t xml:space="preserve">, S.; Khan, M.K.; Kumar, N. A survey on privacy protection in </w:t>
      </w:r>
      <w:proofErr w:type="spellStart"/>
      <w:r w:rsidRPr="00793CA4">
        <w:rPr>
          <w:rFonts w:ascii="Times New Roman" w:hAnsi="Times New Roman" w:cs="Times New Roman"/>
          <w:sz w:val="28"/>
          <w:szCs w:val="28"/>
        </w:rPr>
        <w:t>blockchain</w:t>
      </w:r>
      <w:proofErr w:type="spellEnd"/>
      <w:r w:rsidRPr="00793CA4">
        <w:rPr>
          <w:rFonts w:ascii="Times New Roman" w:hAnsi="Times New Roman" w:cs="Times New Roman"/>
          <w:sz w:val="28"/>
          <w:szCs w:val="28"/>
        </w:rPr>
        <w:t xml:space="preserve"> system. J. </w:t>
      </w:r>
      <w:proofErr w:type="spellStart"/>
      <w:r w:rsidRPr="00793CA4">
        <w:rPr>
          <w:rFonts w:ascii="Times New Roman" w:hAnsi="Times New Roman" w:cs="Times New Roman"/>
          <w:sz w:val="28"/>
          <w:szCs w:val="28"/>
        </w:rPr>
        <w:t>Netw</w:t>
      </w:r>
      <w:proofErr w:type="spellEnd"/>
      <w:r w:rsidRPr="00793CA4">
        <w:rPr>
          <w:rFonts w:ascii="Times New Roman" w:hAnsi="Times New Roman" w:cs="Times New Roman"/>
          <w:sz w:val="28"/>
          <w:szCs w:val="28"/>
        </w:rPr>
        <w:t xml:space="preserve">. </w:t>
      </w:r>
      <w:proofErr w:type="spellStart"/>
      <w:r w:rsidRPr="00793CA4">
        <w:rPr>
          <w:rFonts w:ascii="Times New Roman" w:hAnsi="Times New Roman" w:cs="Times New Roman"/>
          <w:sz w:val="28"/>
          <w:szCs w:val="28"/>
        </w:rPr>
        <w:t>Comput</w:t>
      </w:r>
      <w:proofErr w:type="spellEnd"/>
      <w:r w:rsidRPr="00793CA4">
        <w:rPr>
          <w:rFonts w:ascii="Times New Roman" w:hAnsi="Times New Roman" w:cs="Times New Roman"/>
          <w:sz w:val="28"/>
          <w:szCs w:val="28"/>
        </w:rPr>
        <w:t>. Appl. 2019, 126, 45–58. [</w:t>
      </w:r>
      <w:proofErr w:type="spellStart"/>
      <w:r w:rsidRPr="00793CA4">
        <w:rPr>
          <w:rFonts w:ascii="Times New Roman" w:hAnsi="Times New Roman" w:cs="Times New Roman"/>
          <w:sz w:val="28"/>
          <w:szCs w:val="28"/>
        </w:rPr>
        <w:t>CrossRef</w:t>
      </w:r>
      <w:proofErr w:type="spellEnd"/>
      <w:r w:rsidRPr="00793CA4">
        <w:rPr>
          <w:rFonts w:ascii="Times New Roman" w:hAnsi="Times New Roman" w:cs="Times New Roman"/>
          <w:sz w:val="28"/>
          <w:szCs w:val="28"/>
        </w:rPr>
        <w:t xml:space="preserve">] </w:t>
      </w:r>
    </w:p>
    <w:p w:rsidR="00793CA4" w:rsidRPr="00793CA4" w:rsidRDefault="007F3BA0" w:rsidP="007F3BA0">
      <w:pPr>
        <w:pStyle w:val="ListParagraph"/>
        <w:numPr>
          <w:ilvl w:val="0"/>
          <w:numId w:val="3"/>
        </w:numPr>
        <w:spacing w:line="360" w:lineRule="auto"/>
        <w:jc w:val="both"/>
        <w:rPr>
          <w:rFonts w:ascii="Times New Roman" w:hAnsi="Times New Roman" w:cs="Times New Roman"/>
          <w:b/>
          <w:sz w:val="28"/>
          <w:szCs w:val="28"/>
        </w:rPr>
      </w:pPr>
      <w:r w:rsidRPr="00793CA4">
        <w:rPr>
          <w:rFonts w:ascii="Times New Roman" w:hAnsi="Times New Roman" w:cs="Times New Roman"/>
          <w:sz w:val="28"/>
          <w:szCs w:val="28"/>
        </w:rPr>
        <w:t xml:space="preserve">He, D.; Kumar, N.; Lee, J.H. Privacy-preserving data aggregation scheme against internal attackers in smart grids. </w:t>
      </w:r>
      <w:proofErr w:type="spellStart"/>
      <w:r w:rsidRPr="00793CA4">
        <w:rPr>
          <w:rFonts w:ascii="Times New Roman" w:hAnsi="Times New Roman" w:cs="Times New Roman"/>
          <w:sz w:val="28"/>
          <w:szCs w:val="28"/>
        </w:rPr>
        <w:t>Wirel</w:t>
      </w:r>
      <w:proofErr w:type="spellEnd"/>
      <w:r w:rsidRPr="00793CA4">
        <w:rPr>
          <w:rFonts w:ascii="Times New Roman" w:hAnsi="Times New Roman" w:cs="Times New Roman"/>
          <w:sz w:val="28"/>
          <w:szCs w:val="28"/>
        </w:rPr>
        <w:t xml:space="preserve">. </w:t>
      </w:r>
      <w:proofErr w:type="spellStart"/>
      <w:r w:rsidRPr="00793CA4">
        <w:rPr>
          <w:rFonts w:ascii="Times New Roman" w:hAnsi="Times New Roman" w:cs="Times New Roman"/>
          <w:sz w:val="28"/>
          <w:szCs w:val="28"/>
        </w:rPr>
        <w:t>Netw</w:t>
      </w:r>
      <w:proofErr w:type="spellEnd"/>
      <w:r w:rsidRPr="00793CA4">
        <w:rPr>
          <w:rFonts w:ascii="Times New Roman" w:hAnsi="Times New Roman" w:cs="Times New Roman"/>
          <w:sz w:val="28"/>
          <w:szCs w:val="28"/>
        </w:rPr>
        <w:t>. 2016, 22, 491–502. [</w:t>
      </w:r>
      <w:proofErr w:type="spellStart"/>
      <w:r w:rsidRPr="00793CA4">
        <w:rPr>
          <w:rFonts w:ascii="Times New Roman" w:hAnsi="Times New Roman" w:cs="Times New Roman"/>
          <w:sz w:val="28"/>
          <w:szCs w:val="28"/>
        </w:rPr>
        <w:t>CrossRef</w:t>
      </w:r>
      <w:proofErr w:type="spellEnd"/>
      <w:r w:rsidRPr="00793CA4">
        <w:rPr>
          <w:rFonts w:ascii="Times New Roman" w:hAnsi="Times New Roman" w:cs="Times New Roman"/>
          <w:sz w:val="28"/>
          <w:szCs w:val="28"/>
        </w:rPr>
        <w:t xml:space="preserve">] </w:t>
      </w:r>
    </w:p>
    <w:p w:rsidR="007F3BA0" w:rsidRPr="00793CA4" w:rsidRDefault="007F3BA0" w:rsidP="007F3BA0">
      <w:pPr>
        <w:pStyle w:val="ListParagraph"/>
        <w:numPr>
          <w:ilvl w:val="0"/>
          <w:numId w:val="3"/>
        </w:numPr>
        <w:spacing w:line="360" w:lineRule="auto"/>
        <w:jc w:val="both"/>
        <w:rPr>
          <w:rFonts w:ascii="Times New Roman" w:hAnsi="Times New Roman" w:cs="Times New Roman"/>
          <w:b/>
          <w:sz w:val="28"/>
          <w:szCs w:val="28"/>
        </w:rPr>
      </w:pPr>
      <w:r w:rsidRPr="00793CA4">
        <w:rPr>
          <w:rFonts w:ascii="Times New Roman" w:hAnsi="Times New Roman" w:cs="Times New Roman"/>
          <w:sz w:val="28"/>
          <w:szCs w:val="28"/>
        </w:rPr>
        <w:t xml:space="preserve">Kumar, N.; </w:t>
      </w:r>
      <w:proofErr w:type="spellStart"/>
      <w:r w:rsidRPr="00793CA4">
        <w:rPr>
          <w:rFonts w:ascii="Times New Roman" w:hAnsi="Times New Roman" w:cs="Times New Roman"/>
          <w:sz w:val="28"/>
          <w:szCs w:val="28"/>
        </w:rPr>
        <w:t>Iqbal</w:t>
      </w:r>
      <w:proofErr w:type="spellEnd"/>
      <w:r w:rsidRPr="00793CA4">
        <w:rPr>
          <w:rFonts w:ascii="Times New Roman" w:hAnsi="Times New Roman" w:cs="Times New Roman"/>
          <w:sz w:val="28"/>
          <w:szCs w:val="28"/>
        </w:rPr>
        <w:t xml:space="preserve">, R.; </w:t>
      </w:r>
      <w:proofErr w:type="spellStart"/>
      <w:r w:rsidRPr="00793CA4">
        <w:rPr>
          <w:rFonts w:ascii="Times New Roman" w:hAnsi="Times New Roman" w:cs="Times New Roman"/>
          <w:sz w:val="28"/>
          <w:szCs w:val="28"/>
        </w:rPr>
        <w:t>Misra</w:t>
      </w:r>
      <w:proofErr w:type="spellEnd"/>
      <w:r w:rsidRPr="00793CA4">
        <w:rPr>
          <w:rFonts w:ascii="Times New Roman" w:hAnsi="Times New Roman" w:cs="Times New Roman"/>
          <w:sz w:val="28"/>
          <w:szCs w:val="28"/>
        </w:rPr>
        <w:t xml:space="preserve">, S.; Rodrigues, J.J.P.C. An intelligent approach for building a secure decentralized public key infrastructure in VANET. J. </w:t>
      </w:r>
      <w:proofErr w:type="spellStart"/>
      <w:r w:rsidRPr="00793CA4">
        <w:rPr>
          <w:rFonts w:ascii="Times New Roman" w:hAnsi="Times New Roman" w:cs="Times New Roman"/>
          <w:sz w:val="28"/>
          <w:szCs w:val="28"/>
        </w:rPr>
        <w:t>Comput</w:t>
      </w:r>
      <w:proofErr w:type="spellEnd"/>
      <w:r w:rsidRPr="00793CA4">
        <w:rPr>
          <w:rFonts w:ascii="Times New Roman" w:hAnsi="Times New Roman" w:cs="Times New Roman"/>
          <w:sz w:val="28"/>
          <w:szCs w:val="28"/>
        </w:rPr>
        <w:t>. Syst. Sci. 2015, 81, 1042–1058. [</w:t>
      </w:r>
      <w:proofErr w:type="spellStart"/>
      <w:r w:rsidRPr="00793CA4">
        <w:rPr>
          <w:rFonts w:ascii="Times New Roman" w:hAnsi="Times New Roman" w:cs="Times New Roman"/>
          <w:sz w:val="28"/>
          <w:szCs w:val="28"/>
        </w:rPr>
        <w:t>CrossRef</w:t>
      </w:r>
      <w:proofErr w:type="spellEnd"/>
      <w:r w:rsidRPr="00793CA4">
        <w:rPr>
          <w:rFonts w:ascii="Times New Roman" w:hAnsi="Times New Roman" w:cs="Times New Roman"/>
          <w:sz w:val="28"/>
          <w:szCs w:val="28"/>
        </w:rPr>
        <w:t>]</w:t>
      </w:r>
    </w:p>
    <w:sectPr w:rsidR="007F3BA0" w:rsidRPr="00793C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1DFD"/>
    <w:multiLevelType w:val="hybridMultilevel"/>
    <w:tmpl w:val="55D68C5A"/>
    <w:lvl w:ilvl="0" w:tplc="21F2A46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B378EA"/>
    <w:multiLevelType w:val="hybridMultilevel"/>
    <w:tmpl w:val="EB022B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7D66CE"/>
    <w:multiLevelType w:val="hybridMultilevel"/>
    <w:tmpl w:val="8AC883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A7D"/>
    <w:rsid w:val="003B5A7D"/>
    <w:rsid w:val="005102D7"/>
    <w:rsid w:val="00664C7E"/>
    <w:rsid w:val="00793CA4"/>
    <w:rsid w:val="007F3BA0"/>
    <w:rsid w:val="00B50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B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891</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2021-10-04T08:05:00Z</dcterms:created>
  <dcterms:modified xsi:type="dcterms:W3CDTF">2021-10-04T08:24:00Z</dcterms:modified>
</cp:coreProperties>
</file>